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31E39" w14:textId="77777777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>Comune di CASALI DEL MANCO</w:t>
      </w:r>
    </w:p>
    <w:p w14:paraId="230B308C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7F523B67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10BDE8BD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60965A1F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030C51B3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0AA6EBDD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6C09ECB8" w14:textId="77777777" w:rsidR="004D2B3E" w:rsidRPr="00566FF9" w:rsidRDefault="004D2B3E" w:rsidP="004D2B3E">
      <w:pPr>
        <w:jc w:val="center"/>
        <w:rPr>
          <w:rFonts w:ascii="Arial" w:hAnsi="Arial" w:cs="Tahoma"/>
          <w:b/>
        </w:rPr>
      </w:pPr>
      <w:r w:rsidRPr="00566FF9">
        <w:rPr>
          <w:rFonts w:ascii="Arial" w:hAnsi="Arial" w:cs="Tahoma"/>
          <w:b/>
        </w:rPr>
        <w:t>Tributi ed entrate patrimoniali</w:t>
      </w:r>
    </w:p>
    <w:p w14:paraId="53CB4D9F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396DB37D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2531FBE5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408B9D60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472132FB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5FADAF7B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4BE08CD0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09993D7D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56D887DA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57B09B0F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086E08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15F7FA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Controllo COSAP</w:t>
            </w:r>
          </w:p>
        </w:tc>
      </w:tr>
      <w:tr w:rsidR="00AA54A1" w:rsidRPr="007137E0" w14:paraId="460E6BC1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D3963A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DB0789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079FA551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248A87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874103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nella verifica della regolarita' della posizione del contribuente finalizzata all'eventuale emissione di avviso di accertamento con determinazione dell'importo da pagare, comprensivo di imposta, sanzioni ed interessi</w:t>
            </w:r>
          </w:p>
        </w:tc>
      </w:tr>
      <w:tr w:rsidR="00AA54A1" w:rsidRPr="007137E0" w14:paraId="205E2380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295CDE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808B03F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82/2005 - L. 190/2012 - D.Lgs.n. 33/2013 - DPR n. 62/2013 - Statuto - Regolamento sul procedimento amministrativo</w:t>
            </w:r>
          </w:p>
        </w:tc>
      </w:tr>
      <w:tr w:rsidR="00566FF9" w:rsidRPr="007137E0" w14:paraId="36CA9260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684AB55" w14:textId="77777777" w:rsidR="00566FF9" w:rsidRPr="007137E0" w:rsidRDefault="00566FF9" w:rsidP="00566FF9">
            <w:pPr>
              <w:snapToGrid w:val="0"/>
              <w:jc w:val="both"/>
              <w:rPr>
                <w:rFonts w:ascii="Arial" w:hAnsi="Arial"/>
              </w:rPr>
            </w:pPr>
            <w:proofErr w:type="spellStart"/>
            <w:r w:rsidRPr="007137E0">
              <w:rPr>
                <w:rFonts w:ascii="Arial" w:hAnsi="Arial"/>
              </w:rPr>
              <w:t>Unita'</w:t>
            </w:r>
            <w:proofErr w:type="spellEnd"/>
            <w:r w:rsidRPr="007137E0">
              <w:rPr>
                <w:rFonts w:ascii="Arial" w:hAnsi="Arial"/>
              </w:rPr>
              <w:t xml:space="preserve"> organizzativa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AADC0CF" w14:textId="7B80CEE0" w:rsidR="00566FF9" w:rsidRPr="007137E0" w:rsidRDefault="00566FF9" w:rsidP="00566F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SETTORE </w:t>
            </w:r>
            <w:r>
              <w:rPr>
                <w:rFonts w:ascii="Arial" w:hAnsi="Arial"/>
                <w:color w:val="000000"/>
              </w:rPr>
              <w:t>1</w:t>
            </w:r>
            <w:r w:rsidRPr="007137E0">
              <w:rPr>
                <w:rFonts w:ascii="Arial" w:hAnsi="Arial"/>
                <w:color w:val="000000"/>
              </w:rPr>
              <w:t xml:space="preserve"> SETTORE/UNITA' ORGANIZZATIVA SETTORE </w:t>
            </w: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566FF9" w:rsidRPr="007137E0" w14:paraId="143F3488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45E4A2A" w14:textId="77777777" w:rsidR="00566FF9" w:rsidRPr="007137E0" w:rsidRDefault="00566FF9" w:rsidP="00566FF9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04FE635" w14:textId="2330B41A" w:rsidR="00566FF9" w:rsidRPr="007137E0" w:rsidRDefault="00566FF9" w:rsidP="00566F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Tributi ed entrate patrimoniali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</w:tc>
      </w:tr>
      <w:tr w:rsidR="00AA54A1" w:rsidRPr="007137E0" w14:paraId="007B0558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7CEFE8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B066C7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AA54A1" w:rsidRPr="007137E0" w14:paraId="1BB9512A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A88AFB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DB4242F" w14:textId="77777777" w:rsidR="00566FF9" w:rsidRPr="007137E0" w:rsidRDefault="00566FF9" w:rsidP="00566F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dott. </w:t>
            </w:r>
            <w:r>
              <w:rPr>
                <w:rFonts w:ascii="Arial" w:hAnsi="Arial"/>
                <w:color w:val="000000"/>
              </w:rPr>
              <w:t>Lo Bianco Giancarlo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  <w:p w14:paraId="401C60C6" w14:textId="77777777" w:rsidR="00395DFD" w:rsidRDefault="00395DFD">
            <w:pPr>
              <w:jc w:val="both"/>
            </w:pPr>
          </w:p>
        </w:tc>
      </w:tr>
      <w:tr w:rsidR="00AA54A1" w:rsidRPr="007137E0" w14:paraId="4AB2F8B0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F6B8BC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BDF259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27AC9E03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EFB4D0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9C7F91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572C5721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4368FB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C3422E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Tributi ed entrate patrimoniali</w:t>
            </w:r>
          </w:p>
        </w:tc>
      </w:tr>
      <w:tr w:rsidR="00AA54A1" w:rsidRPr="007137E0" w14:paraId="2F6B8D51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B176AF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C6EBD9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279A3720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C1918E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Termine finale e termini intermedi che sospendono o interrompono il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9DCD31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Termine per la conclusione: entro il 31 dicembre del quinto anno successivo a quello in cui la dichiarazione o il versamento sono stati o avrebbero dovuto essere effettuati.</w:t>
            </w:r>
          </w:p>
        </w:tc>
      </w:tr>
      <w:tr w:rsidR="00AA54A1" w:rsidRPr="007137E0" w14:paraId="0C751887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2419B8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conclusione procedimento: provvedimento espresso - SCIA - silenzio assenso/rifiuto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9F80F7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 e motivato: determinazione dirigenziale</w:t>
            </w:r>
          </w:p>
        </w:tc>
      </w:tr>
      <w:tr w:rsidR="00AA54A1" w:rsidRPr="007137E0" w14:paraId="0D15F0C1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33AA88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Strumenti di tutela amministrativa e </w:t>
            </w:r>
            <w:r w:rsidRPr="007137E0">
              <w:rPr>
                <w:rFonts w:ascii="Arial" w:hAnsi="Arial"/>
              </w:rPr>
              <w:lastRenderedPageBreak/>
              <w:t>giurisdizionale e i modi per attivarli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C60AA7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 xml:space="preserve">- Tutela giurisdizionale: ricorso avanti alla Commissione </w:t>
            </w:r>
            <w:r w:rsidRPr="007137E0">
              <w:rPr>
                <w:rFonts w:ascii="Arial" w:hAnsi="Arial"/>
                <w:color w:val="000000"/>
              </w:rPr>
              <w:lastRenderedPageBreak/>
              <w:t>Tributaria Provinciale.</w:t>
            </w:r>
          </w:p>
          <w:p w14:paraId="2379A75A" w14:textId="77777777" w:rsidR="00395DFD" w:rsidRDefault="00566FF9">
            <w:pPr>
              <w:jc w:val="both"/>
            </w:pPr>
            <w:r>
              <w:rPr>
                <w:rFonts w:ascii="Arial" w:hAnsi="Arial"/>
              </w:rPr>
              <w:t>Ricorso/Reclamo giurisdizionale alla Commissione Tributaria entro 60 giorni dalla notifica del pro</w:t>
            </w:r>
            <w:r>
              <w:rPr>
                <w:rFonts w:ascii="Arial" w:hAnsi="Arial"/>
              </w:rPr>
              <w:t>vvedimento ai sensi del D.Lgs 546/1992, (1Ã?Â? e 2Ã?Â? grado) - Ricorso in Cassazione (3Ã?Â? grado)</w:t>
            </w:r>
          </w:p>
        </w:tc>
      </w:tr>
      <w:tr w:rsidR="00AA54A1" w:rsidRPr="007137E0" w14:paraId="15F31DDC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DC1D36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Link a servizi online o i tempi previsti per la sua attivazione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FD83EEF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1A3D5C07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ACD3BE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E7F71C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7B168213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F0045D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88540E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13116C3B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98915A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B10802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76DA3330" w14:textId="77777777" w:rsidTr="00566FF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E71C3E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D75AF7E" w14:textId="5875F9EE" w:rsidR="001451FA" w:rsidRPr="007137E0" w:rsidRDefault="00566FF9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2BEA9E0B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5DFD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66FF9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27C275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2020-07-09T15:35:00Z</dcterms:created>
  <dcterms:modified xsi:type="dcterms:W3CDTF">2020-07-09T15:35:00Z</dcterms:modified>
</cp:coreProperties>
</file>