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B00A1" w14:textId="33A3E81E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CD3AC3">
        <w:rPr>
          <w:rFonts w:ascii="Arial" w:hAnsi="Arial"/>
          <w:sz w:val="20"/>
          <w:szCs w:val="20"/>
        </w:rPr>
        <w:t>San Vincenzo la Costa</w:t>
      </w:r>
    </w:p>
    <w:p w14:paraId="0E84251D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7E90907D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0B040C24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355276F4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37AA391F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85E22DF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B96818D" w14:textId="77777777" w:rsidR="004D2B3E" w:rsidRPr="00CD3AC3" w:rsidRDefault="004D2B3E" w:rsidP="004D2B3E">
      <w:pPr>
        <w:jc w:val="center"/>
        <w:rPr>
          <w:rFonts w:ascii="Arial" w:hAnsi="Arial" w:cs="Tahoma"/>
          <w:b/>
        </w:rPr>
      </w:pPr>
      <w:r w:rsidRPr="00CD3AC3">
        <w:rPr>
          <w:rFonts w:ascii="Arial" w:hAnsi="Arial" w:cs="Tahoma"/>
          <w:b/>
        </w:rPr>
        <w:t>Tributi ed entrate patrimoniali</w:t>
      </w:r>
    </w:p>
    <w:p w14:paraId="77F4AEEC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00E7967D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664A5C98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4F84EB89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394CD477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537FBB89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34E0CF17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4DCF2DA7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201731DE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2897C032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F757D1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94CF67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Provvedimenti in autotutela per tributi comunali</w:t>
            </w:r>
          </w:p>
        </w:tc>
      </w:tr>
      <w:tr w:rsidR="00AA54A1" w:rsidRPr="007137E0" w14:paraId="51581CEA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0B501E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B16B63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privata, ad istanza di parte</w:t>
            </w:r>
          </w:p>
        </w:tc>
      </w:tr>
      <w:tr w:rsidR="00AA54A1" w:rsidRPr="007137E0" w14:paraId="067AD089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C5A0FC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61D20A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 garantire al contribuente che riceve la notifica di un atto impositivo tributario ritenuto errato, la possibilita' di chiedere all'Ente il suo annullamento o rettifica.</w:t>
            </w:r>
          </w:p>
        </w:tc>
      </w:tr>
      <w:tr w:rsidR="00AA54A1" w:rsidRPr="007137E0" w14:paraId="707BE6B1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09EC2C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5A3302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D.Lgs. 504/1992 - L. 662/1996 - Decreti legislativi di riforma delle sanzioni tributarie - L. 212/2000 (Statuto del contribuente) - L. 296/2006 - L. 126/2008 - D.Lgs. 23/2011 - L. 208/2015 (legge di stabilita' 2016) - Regolamento comunale ICI - Regolamento per l'applicazione IMU - Regolamento generale delle entrate comunali</w:t>
            </w:r>
          </w:p>
        </w:tc>
      </w:tr>
      <w:tr w:rsidR="00CD3AC3" w:rsidRPr="007137E0" w14:paraId="2C51B9C6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C4E04EB" w14:textId="77777777" w:rsidR="00CD3AC3" w:rsidRPr="007137E0" w:rsidRDefault="00CD3AC3" w:rsidP="00CD3AC3">
            <w:pPr>
              <w:snapToGrid w:val="0"/>
              <w:jc w:val="both"/>
              <w:rPr>
                <w:rFonts w:ascii="Arial" w:hAnsi="Arial"/>
              </w:rPr>
            </w:pPr>
            <w:proofErr w:type="spellStart"/>
            <w:r w:rsidRPr="007137E0">
              <w:rPr>
                <w:rFonts w:ascii="Arial" w:hAnsi="Arial"/>
              </w:rPr>
              <w:t>Unita'</w:t>
            </w:r>
            <w:proofErr w:type="spellEnd"/>
            <w:r w:rsidRPr="007137E0">
              <w:rPr>
                <w:rFonts w:ascii="Arial" w:hAnsi="Arial"/>
              </w:rPr>
              <w:t xml:space="preserve"> organizzativa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81F8583" w14:textId="37E9F0C4" w:rsidR="00CD3AC3" w:rsidRPr="007137E0" w:rsidRDefault="00CD3AC3" w:rsidP="00CD3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CD3AC3" w:rsidRPr="007137E0" w14:paraId="0CEC2743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50A9D5" w14:textId="77777777" w:rsidR="00CD3AC3" w:rsidRPr="007137E0" w:rsidRDefault="00CD3AC3" w:rsidP="00CD3AC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F904677" w14:textId="68E411BF" w:rsidR="00CD3AC3" w:rsidRPr="007137E0" w:rsidRDefault="00CD3AC3" w:rsidP="00CD3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CD3AC3" w:rsidRPr="007137E0" w14:paraId="0A26E26C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AAAFBB2" w14:textId="77777777" w:rsidR="00CD3AC3" w:rsidRPr="007137E0" w:rsidRDefault="00CD3AC3" w:rsidP="00CD3AC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C86CB01" w14:textId="77777777" w:rsidR="00CD3AC3" w:rsidRPr="007137E0" w:rsidRDefault="00CD3AC3" w:rsidP="00CD3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CD3AC3" w:rsidRPr="007137E0" w14:paraId="0FFC0BC9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0C902DC" w14:textId="77777777" w:rsidR="00CD3AC3" w:rsidRPr="007137E0" w:rsidRDefault="00CD3AC3" w:rsidP="00CD3AC3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089B956" w14:textId="77777777" w:rsidR="00CD3AC3" w:rsidRPr="007137E0" w:rsidRDefault="00CD3AC3" w:rsidP="00CD3AC3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  <w:p w14:paraId="528D40CE" w14:textId="77777777" w:rsidR="00CD3AC3" w:rsidRDefault="00CD3AC3" w:rsidP="00CD3AC3">
            <w:pPr>
              <w:jc w:val="both"/>
            </w:pPr>
          </w:p>
        </w:tc>
      </w:tr>
      <w:tr w:rsidR="00AA54A1" w:rsidRPr="007137E0" w14:paraId="5BFB22AF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35CD58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B78FFD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Elenco atti e documenti indicati nella modulistica </w:t>
            </w:r>
          </w:p>
        </w:tc>
      </w:tr>
      <w:tr w:rsidR="00AA54A1" w:rsidRPr="007137E0" w14:paraId="1D074887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C6E7608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4B2DE4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Modulistica consultabile sul sito istituzionale dell'Ente al link sottoindicato. In assenza del link, contattare l'Ufficio del procedimento. Link: </w:t>
            </w:r>
          </w:p>
        </w:tc>
      </w:tr>
      <w:tr w:rsidR="00AA54A1" w:rsidRPr="007137E0" w14:paraId="05ED2662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B7635F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10207A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7D643EE9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5E6295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9CD8B4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61473919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9CE6BF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 xml:space="preserve">Termine finale e termini intermedi che sospendono o interrompono il </w:t>
            </w:r>
            <w:r w:rsidRPr="007137E0">
              <w:rPr>
                <w:rFonts w:ascii="Arial" w:hAnsi="Arial"/>
              </w:rPr>
              <w:lastRenderedPageBreak/>
              <w:t>procedimento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F112F0F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lastRenderedPageBreak/>
              <w:t xml:space="preserve">- Termine per la conclusione: Termine disciplinato dalla normativa specifica di riferimento, o diverso termine </w:t>
            </w:r>
            <w:r w:rsidRPr="007137E0">
              <w:rPr>
                <w:rFonts w:ascii="Arial" w:hAnsi="Arial"/>
                <w:color w:val="000000"/>
              </w:rPr>
              <w:lastRenderedPageBreak/>
              <w:t>stabilito dall'Amministrazione</w:t>
            </w:r>
          </w:p>
        </w:tc>
      </w:tr>
      <w:tr w:rsidR="00AA54A1" w:rsidRPr="007137E0" w14:paraId="04227BB9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4666E7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Modalita' conclusione procedimento: provvedimento espresso - SCIA - silenzio assenso/rifiuto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8A7B04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autorizzazione</w:t>
            </w:r>
          </w:p>
        </w:tc>
      </w:tr>
      <w:tr w:rsidR="00AA54A1" w:rsidRPr="007137E0" w14:paraId="3110D5E3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9F1193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160FE8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7CAA7A40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DEA275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AF38E6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0184964E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320E6F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049FD3C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Pago PA ove previsto - Diritti all'Ufficio ove previsti - Pagamento sul conto di tesoreria (bollettino, MAV). il codici IBAN identificativi del conto di pagamento, ovvero di imputazione del versamento in Tesoreria, ovvero gli identificativi del conto corrente postale, nonche' i codici identificativi del pagamento da indicare obbligatoriamente per il versamento sono indicati negli atti di pagamento</w:t>
            </w:r>
          </w:p>
        </w:tc>
      </w:tr>
      <w:tr w:rsidR="00AA54A1" w:rsidRPr="007137E0" w14:paraId="37305FB0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686E7F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07D6FA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7ACD1FEA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5D3A180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32E79F0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35DEBB4B" w14:textId="77777777" w:rsidTr="00CD3AC3">
        <w:trPr>
          <w:trHeight w:val="23"/>
        </w:trPr>
        <w:tc>
          <w:tcPr>
            <w:tcW w:w="1934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A4E59AE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066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AD343DA" w14:textId="358CAE70" w:rsidR="001451FA" w:rsidRPr="007137E0" w:rsidRDefault="00CD3AC3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3CC3EF75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0BE4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D3AC3"/>
    <w:rsid w:val="00CE57FA"/>
    <w:rsid w:val="00CE74B4"/>
    <w:rsid w:val="00CF1599"/>
    <w:rsid w:val="00CF3682"/>
    <w:rsid w:val="00D51039"/>
    <w:rsid w:val="00D6715A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594A72B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2020-07-09T15:39:00Z</dcterms:created>
  <dcterms:modified xsi:type="dcterms:W3CDTF">2020-07-09T15:39:00Z</dcterms:modified>
</cp:coreProperties>
</file>