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14A1A" w14:textId="5B96D82A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080D6C">
        <w:rPr>
          <w:rFonts w:ascii="Arial" w:hAnsi="Arial"/>
          <w:sz w:val="20"/>
          <w:szCs w:val="20"/>
        </w:rPr>
        <w:t>San Vincenzo la Costa</w:t>
      </w:r>
    </w:p>
    <w:p w14:paraId="2174B1EC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14DA628F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1903C7CA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411460EE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45D76E6A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74B3BE2F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3579BF60" w14:textId="77777777" w:rsidR="004D2B3E" w:rsidRPr="00080D6C" w:rsidRDefault="004D2B3E" w:rsidP="004D2B3E">
      <w:pPr>
        <w:jc w:val="center"/>
        <w:rPr>
          <w:rFonts w:ascii="Arial" w:hAnsi="Arial" w:cs="Tahoma"/>
          <w:b/>
        </w:rPr>
      </w:pPr>
      <w:r w:rsidRPr="00080D6C">
        <w:rPr>
          <w:rFonts w:ascii="Arial" w:hAnsi="Arial" w:cs="Tahoma"/>
          <w:b/>
        </w:rPr>
        <w:t>Tributi ed entrate patrimoniali</w:t>
      </w:r>
    </w:p>
    <w:p w14:paraId="1AAFA4D0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5F52785B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4BC8FB0F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79E02F1F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287C9FF7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50118931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0D8CA8C5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78545B9E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574BAF30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0BD4A761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833495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292265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Richieste accertamento con adesione</w:t>
            </w:r>
          </w:p>
        </w:tc>
      </w:tr>
      <w:tr w:rsidR="00AA54A1" w:rsidRPr="007137E0" w14:paraId="5D6442F4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825DF5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FF537A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privata, ad istanza di parte</w:t>
            </w:r>
          </w:p>
        </w:tc>
      </w:tr>
      <w:tr w:rsidR="00AA54A1" w:rsidRPr="007137E0" w14:paraId="1E0BF68F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A69633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80FB68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contribuente, al quale sia stato notificato avviso di accertamento avente per oggetto aree edificabili, puo' formulare, prima dellimpugnazione dell'atto, richiesta di accertamento con adesione in carta libera.</w:t>
            </w:r>
          </w:p>
          <w:p w14:paraId="3DDB384F" w14:textId="77777777" w:rsidR="003E7080" w:rsidRDefault="00080D6C">
            <w:pPr>
              <w:jc w:val="both"/>
            </w:pPr>
            <w:r>
              <w:rPr>
                <w:rFonts w:ascii="Arial" w:hAnsi="Arial"/>
              </w:rPr>
              <w:t>L'accertamento con adesione presuppone la p</w:t>
            </w:r>
            <w:r>
              <w:rPr>
                <w:rFonts w:ascii="Arial" w:hAnsi="Arial"/>
              </w:rPr>
              <w:t>resenza di materia concordabile e quindi di elementi di fatto suscettibili di apprezzamento valutativo: oggetto dell'accertamento con adesione puo' essere solo il valore delle aree edificabili accertato. Esulano dal campo applicativo dell'istituto le quest</w:t>
            </w:r>
            <w:r>
              <w:rPr>
                <w:rFonts w:ascii="Arial" w:hAnsi="Arial"/>
              </w:rPr>
              <w:t>ioni cossiddette "di diritto" e tutte le fattispecie nelle quali l'obbligazione tributaria e' determinatabile sulla base di elementi certi.</w:t>
            </w:r>
          </w:p>
        </w:tc>
      </w:tr>
      <w:tr w:rsidR="00AA54A1" w:rsidRPr="007137E0" w14:paraId="3D4805A2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BFE86D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E87DD7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</w:t>
            </w:r>
          </w:p>
        </w:tc>
      </w:tr>
      <w:tr w:rsidR="00080D6C" w:rsidRPr="007137E0" w14:paraId="662DD8A7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F0CE4CE" w14:textId="77777777" w:rsidR="00080D6C" w:rsidRPr="007137E0" w:rsidRDefault="00080D6C" w:rsidP="00080D6C">
            <w:pPr>
              <w:snapToGrid w:val="0"/>
              <w:jc w:val="both"/>
              <w:rPr>
                <w:rFonts w:ascii="Arial" w:hAnsi="Arial"/>
              </w:rPr>
            </w:pPr>
            <w:proofErr w:type="spellStart"/>
            <w:r w:rsidRPr="007137E0">
              <w:rPr>
                <w:rFonts w:ascii="Arial" w:hAnsi="Arial"/>
              </w:rPr>
              <w:t>Unita'</w:t>
            </w:r>
            <w:proofErr w:type="spellEnd"/>
            <w:r w:rsidRPr="007137E0">
              <w:rPr>
                <w:rFonts w:ascii="Arial" w:hAnsi="Arial"/>
              </w:rPr>
              <w:t xml:space="preserve"> organizzativa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CB27B37" w14:textId="50AB8C21" w:rsidR="00080D6C" w:rsidRPr="007137E0" w:rsidRDefault="00080D6C" w:rsidP="00080D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SETTORE </w:t>
            </w:r>
            <w:r>
              <w:rPr>
                <w:rFonts w:ascii="Arial" w:hAnsi="Arial"/>
                <w:color w:val="000000"/>
              </w:rPr>
              <w:t>1</w:t>
            </w:r>
            <w:r w:rsidRPr="007137E0">
              <w:rPr>
                <w:rFonts w:ascii="Arial" w:hAnsi="Arial"/>
                <w:color w:val="000000"/>
              </w:rPr>
              <w:t xml:space="preserve"> SETTORE/UNITA' ORGANIZZATIVA SETTORE </w:t>
            </w: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080D6C" w:rsidRPr="007137E0" w14:paraId="4EB527DA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7DD5943" w14:textId="77777777" w:rsidR="00080D6C" w:rsidRPr="007137E0" w:rsidRDefault="00080D6C" w:rsidP="00080D6C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1B6039B" w14:textId="0736B1A8" w:rsidR="00080D6C" w:rsidRPr="007137E0" w:rsidRDefault="00080D6C" w:rsidP="00080D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Tributi ed entrate patrimoniali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</w:tc>
      </w:tr>
      <w:tr w:rsidR="00080D6C" w:rsidRPr="007137E0" w14:paraId="30A0FA6C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6C6A82B" w14:textId="77777777" w:rsidR="00080D6C" w:rsidRPr="007137E0" w:rsidRDefault="00080D6C" w:rsidP="00080D6C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E2E4885" w14:textId="77777777" w:rsidR="00080D6C" w:rsidRPr="007137E0" w:rsidRDefault="00080D6C" w:rsidP="00080D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080D6C" w:rsidRPr="007137E0" w14:paraId="796BB8E7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AB3CE7D" w14:textId="77777777" w:rsidR="00080D6C" w:rsidRPr="007137E0" w:rsidRDefault="00080D6C" w:rsidP="00080D6C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84A20C5" w14:textId="77777777" w:rsidR="00080D6C" w:rsidRPr="007137E0" w:rsidRDefault="00080D6C" w:rsidP="00080D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dott. </w:t>
            </w:r>
            <w:r>
              <w:rPr>
                <w:rFonts w:ascii="Arial" w:hAnsi="Arial"/>
                <w:color w:val="000000"/>
              </w:rPr>
              <w:t>Lo Bianco Giancarlo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  <w:p w14:paraId="19C0182A" w14:textId="77777777" w:rsidR="00080D6C" w:rsidRDefault="00080D6C" w:rsidP="00080D6C">
            <w:pPr>
              <w:jc w:val="both"/>
            </w:pPr>
          </w:p>
        </w:tc>
      </w:tr>
      <w:tr w:rsidR="00AA54A1" w:rsidRPr="007137E0" w14:paraId="28A6A306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4A1783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18DD16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Elenco atti e documenti indicati nella modulistica </w:t>
            </w:r>
          </w:p>
        </w:tc>
      </w:tr>
      <w:tr w:rsidR="00AA54A1" w:rsidRPr="007137E0" w14:paraId="43773C74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BC8F1C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6F0158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Modulistica consultabile sul sito istituzionale dell'Ente al link sottoindicato. In assenza del link, contattare l'Ufficio del procedimento. Link: </w:t>
            </w:r>
          </w:p>
        </w:tc>
      </w:tr>
      <w:tr w:rsidR="00AA54A1" w:rsidRPr="007137E0" w14:paraId="0A400530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057088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5EE18F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Tributi ed entrate patrimoniali</w:t>
            </w:r>
          </w:p>
        </w:tc>
      </w:tr>
      <w:tr w:rsidR="00AA54A1" w:rsidRPr="007137E0" w14:paraId="4A3080B8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513ACE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EDDB33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279643C2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1C700E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Termine finale e termini intermedi </w:t>
            </w:r>
            <w:r w:rsidRPr="007137E0">
              <w:rPr>
                <w:rFonts w:ascii="Arial" w:hAnsi="Arial"/>
              </w:rPr>
              <w:lastRenderedPageBreak/>
              <w:t>che sospendono o interrompono il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A7AE45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 xml:space="preserve">- Termine per la conclusione: Nei termini fissati dal </w:t>
            </w:r>
            <w:r w:rsidRPr="007137E0">
              <w:rPr>
                <w:rFonts w:ascii="Arial" w:hAnsi="Arial"/>
                <w:color w:val="000000"/>
              </w:rPr>
              <w:lastRenderedPageBreak/>
              <w:t>regolamento comunale</w:t>
            </w:r>
          </w:p>
        </w:tc>
      </w:tr>
      <w:tr w:rsidR="00AA54A1" w:rsidRPr="007137E0" w14:paraId="022227C2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AB229C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Modalita' conclusione procedimento: provvedimento espresso - SCIA - silenzio assenso/rifiuto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FF9183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 e motivato</w:t>
            </w:r>
          </w:p>
        </w:tc>
      </w:tr>
      <w:tr w:rsidR="00AA54A1" w:rsidRPr="007137E0" w14:paraId="63D3CEA7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35BFF0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B53FA0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Si precisa che la domanda di accertamento con adesione non fa venire meno la possibilita' di impugnare l'avviso di accertamento avanti la Commissione Tributaria Provinciale nei termini di legge.</w:t>
            </w:r>
          </w:p>
          <w:p w14:paraId="4FAABAF9" w14:textId="77777777" w:rsidR="003E7080" w:rsidRDefault="00080D6C">
            <w:pPr>
              <w:jc w:val="both"/>
            </w:pPr>
            <w:r>
              <w:rPr>
                <w:rFonts w:ascii="Arial" w:hAnsi="Arial"/>
              </w:rPr>
              <w:t xml:space="preserve">L'impugnazione dell'avviso, successiva alla presentazione della domanda di accertamento con adesione, comporta </w:t>
            </w:r>
            <w:r>
              <w:rPr>
                <w:rFonts w:ascii="Arial" w:hAnsi="Arial"/>
              </w:rPr>
              <w:t>rinuncia alla richiesta di definizione</w:t>
            </w:r>
          </w:p>
        </w:tc>
      </w:tr>
      <w:tr w:rsidR="00AA54A1" w:rsidRPr="007137E0" w14:paraId="1F180AC4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FABC19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B2ED7C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22D61196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861BA2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82F1F7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Pago PA ove previsto - Diritti all'Ufficio ove previsti - Pagamento sul conto di tesoreria (bollettino, MAV). il codici IBAN identificativi del conto di pagamento, ovvero di imputazione del versamento in Tesoreria, ovvero gli identificativi del conto corrente postale, nonche' i codici identificativi del pagamento da indicare obbligatoriamente per il versamento sono indicati negli atti di pagamento</w:t>
            </w:r>
          </w:p>
        </w:tc>
      </w:tr>
      <w:tr w:rsidR="00AA54A1" w:rsidRPr="007137E0" w14:paraId="35396677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96D71A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6AEA69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64007D66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61CAFE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59443F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2556D78C" w14:textId="77777777" w:rsidTr="00080D6C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1D7990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715AB3B" w14:textId="6CA66CAB" w:rsidR="001451FA" w:rsidRPr="007137E0" w:rsidRDefault="00080D6C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0F97C990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80D6C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E7080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35D12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2020-07-09T15:41:00Z</dcterms:created>
  <dcterms:modified xsi:type="dcterms:W3CDTF">2020-07-09T15:41:00Z</dcterms:modified>
</cp:coreProperties>
</file>