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74F85" w14:textId="236E37DC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A05AA9">
        <w:rPr>
          <w:rFonts w:ascii="Arial" w:hAnsi="Arial"/>
          <w:sz w:val="20"/>
          <w:szCs w:val="20"/>
        </w:rPr>
        <w:t>San Vincenzo la Costa</w:t>
      </w:r>
    </w:p>
    <w:p w14:paraId="33C2AF75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4ED1E502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654B5ED5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1781FACE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707F7A1D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657C9D19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62CC9E47" w14:textId="77777777" w:rsidR="004D2B3E" w:rsidRPr="00A05AA9" w:rsidRDefault="004D2B3E" w:rsidP="004D2B3E">
      <w:pPr>
        <w:jc w:val="center"/>
        <w:rPr>
          <w:rFonts w:ascii="Arial" w:hAnsi="Arial" w:cs="Tahoma"/>
          <w:b/>
        </w:rPr>
      </w:pPr>
      <w:r w:rsidRPr="00A05AA9">
        <w:rPr>
          <w:rFonts w:ascii="Arial" w:hAnsi="Arial" w:cs="Tahoma"/>
          <w:b/>
        </w:rPr>
        <w:t>Tributi ed entrate patrimoniali</w:t>
      </w:r>
    </w:p>
    <w:p w14:paraId="5EE0F10B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768C185F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5459521B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778FEB7F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674A520F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293AEB15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2A72227E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01AFA89C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4AE41122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23B7E4EA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7A1FDC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C91E2D6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Controllo ICI - IMU - TASI</w:t>
            </w:r>
          </w:p>
        </w:tc>
      </w:tr>
      <w:tr w:rsidR="00AA54A1" w:rsidRPr="007137E0" w14:paraId="44F8271B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0D5AF2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0AE978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321E2CBE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F01037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4EEA43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 controllo dei pagamenti di ICI -IMU - TASI</w:t>
            </w:r>
          </w:p>
        </w:tc>
      </w:tr>
      <w:tr w:rsidR="00AA54A1" w:rsidRPr="007137E0" w14:paraId="63854ECF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AA7444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DF3F83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 - D.Lgs. 504/1992 - L. 662/1996 - Decreti legislativi di riforma delle sanzioni tributarie - L. 212/2000 (Statuto del contribuente) - L. 296/2006 - L. 208/2015 (legge di stabilita' 2016) - D.L. 201/2011 - L. 126/2008 - D.Lgs. 23/2011 - Regolamento comunale ICI - Regolamento generale delle entrate comunali - Regolamento per l'applicazione IMU</w:t>
            </w:r>
          </w:p>
        </w:tc>
      </w:tr>
      <w:tr w:rsidR="00A05AA9" w:rsidRPr="007137E0" w14:paraId="2F0D69CC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C2D4154" w14:textId="77777777" w:rsidR="00A05AA9" w:rsidRPr="007137E0" w:rsidRDefault="00A05AA9" w:rsidP="00A05AA9">
            <w:pPr>
              <w:snapToGrid w:val="0"/>
              <w:jc w:val="both"/>
              <w:rPr>
                <w:rFonts w:ascii="Arial" w:hAnsi="Arial"/>
              </w:rPr>
            </w:pPr>
            <w:proofErr w:type="spellStart"/>
            <w:r w:rsidRPr="007137E0">
              <w:rPr>
                <w:rFonts w:ascii="Arial" w:hAnsi="Arial"/>
              </w:rPr>
              <w:t>Unita'</w:t>
            </w:r>
            <w:proofErr w:type="spellEnd"/>
            <w:r w:rsidRPr="007137E0">
              <w:rPr>
                <w:rFonts w:ascii="Arial" w:hAnsi="Arial"/>
              </w:rPr>
              <w:t xml:space="preserve"> organizzativa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F2FFD18" w14:textId="051B76AF" w:rsidR="00A05AA9" w:rsidRPr="007137E0" w:rsidRDefault="00A05AA9" w:rsidP="00A05A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A05AA9" w:rsidRPr="007137E0" w14:paraId="4E7843EB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0A0760D" w14:textId="77777777" w:rsidR="00A05AA9" w:rsidRPr="007137E0" w:rsidRDefault="00A05AA9" w:rsidP="00A05AA9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6DD9A61" w14:textId="0FF7DB74" w:rsidR="00A05AA9" w:rsidRPr="007137E0" w:rsidRDefault="00A05AA9" w:rsidP="00A05A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AA54A1" w:rsidRPr="007137E0" w14:paraId="7D36C68E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6D26F8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20E649F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AA54A1" w:rsidRPr="007137E0" w14:paraId="31C20AFB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96C288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7E2A2F3" w14:textId="77777777" w:rsidR="00A05AA9" w:rsidRPr="007137E0" w:rsidRDefault="00A05AA9" w:rsidP="00A05AA9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  <w:p w14:paraId="27FD0BFF" w14:textId="77777777" w:rsidR="00D37331" w:rsidRDefault="00D37331">
            <w:pPr>
              <w:jc w:val="both"/>
            </w:pPr>
          </w:p>
        </w:tc>
      </w:tr>
      <w:tr w:rsidR="00AA54A1" w:rsidRPr="007137E0" w14:paraId="1EBA0CE5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C2C14C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224F43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212AF219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28D6D0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69C9C7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365F26E0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796686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02FD73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36D7F4AF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B63426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9F854BF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1D0CC69F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5D2BA7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Termine finale e termini intermedi che sospendono o interrompono il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04909E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Termine per la conclusione: entro il 31 dicembre del quinto anno successivo a quello in cui la dichiarazione o il versamento sono stati o avrebbero dovuto essere effettuati.</w:t>
            </w:r>
          </w:p>
        </w:tc>
      </w:tr>
      <w:tr w:rsidR="00AA54A1" w:rsidRPr="007137E0" w14:paraId="7C8E514C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E2C78F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Modalita' conclusione </w:t>
            </w:r>
            <w:r w:rsidRPr="007137E0">
              <w:rPr>
                <w:rFonts w:ascii="Arial" w:hAnsi="Arial"/>
              </w:rPr>
              <w:lastRenderedPageBreak/>
              <w:t>procedimento: provvedimento espresso - SCIA - silenzio assenso/rifiuto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B2A305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 xml:space="preserve">- Provvedimento espresso e motivato: determinazione </w:t>
            </w:r>
            <w:r w:rsidRPr="007137E0">
              <w:rPr>
                <w:rFonts w:ascii="Arial" w:hAnsi="Arial"/>
                <w:color w:val="000000"/>
              </w:rPr>
              <w:lastRenderedPageBreak/>
              <w:t>dirigenziale</w:t>
            </w:r>
          </w:p>
        </w:tc>
      </w:tr>
      <w:tr w:rsidR="00AA54A1" w:rsidRPr="007137E0" w14:paraId="73121B9D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AD1D7E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Strumenti di tutela amministrativa e giurisdizionale e i modi per attivarli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F55A11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al TAR entro 60 giorni o Presidente della Repubblica entro 120 giorni</w:t>
            </w:r>
          </w:p>
        </w:tc>
      </w:tr>
      <w:tr w:rsidR="00AA54A1" w:rsidRPr="007137E0" w14:paraId="52D9985C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8BA469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D326F0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256DA6C6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0B6EC3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4900DC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5CCEC49F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AA3B53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56C74E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3A1E83A4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359F2D7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CC5C4E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75CB050E" w14:textId="77777777" w:rsidTr="00A05AA9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FAD023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B3BF24B" w14:textId="6193B40A" w:rsidR="001451FA" w:rsidRPr="007137E0" w:rsidRDefault="00A05AA9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088DD3D0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05AA9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37331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EEEBA5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2020-07-09T15:36:00Z</dcterms:created>
  <dcterms:modified xsi:type="dcterms:W3CDTF">2020-07-09T15:36:00Z</dcterms:modified>
</cp:coreProperties>
</file>